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84" w:rsidRDefault="00BF1E84" w:rsidP="00BF1E84">
      <w:pPr>
        <w:rPr>
          <w:rFonts w:ascii="Arial" w:hAnsi="Arial" w:cs="Arial"/>
          <w:b/>
        </w:rPr>
      </w:pPr>
      <w:r w:rsidRPr="00BF1E84">
        <w:rPr>
          <w:rFonts w:ascii="Arial" w:hAnsi="Arial" w:cs="Arial"/>
          <w:b/>
        </w:rPr>
        <w:t>Während der Besprechung von S 789 aufgeworfene Fragen:</w:t>
      </w:r>
    </w:p>
    <w:p w:rsidR="00BF1E84" w:rsidRPr="00BF1E84" w:rsidRDefault="00BF1E84" w:rsidP="00BF1E84">
      <w:pPr>
        <w:rPr>
          <w:rFonts w:ascii="Arial" w:hAnsi="Arial" w:cs="Arial"/>
          <w:b/>
        </w:rPr>
      </w:pPr>
      <w:r w:rsidRPr="00BF1E84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BF1E84">
        <w:rPr>
          <w:rFonts w:ascii="Arial" w:hAnsi="Arial" w:cs="Arial"/>
          <w:b/>
        </w:rPr>
        <w:t>Unterschied Gesamturkunde – zusammengesetzte Urkunde – Beweiszeichen:</w:t>
      </w:r>
    </w:p>
    <w:p w:rsidR="00BF1E84" w:rsidRDefault="00BF1E84" w:rsidP="00BF1E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Eine </w:t>
      </w:r>
      <w:r w:rsidRPr="00027023">
        <w:rPr>
          <w:rFonts w:ascii="Arial" w:hAnsi="Arial" w:cs="Arial"/>
          <w:b/>
        </w:rPr>
        <w:t>zusammengesetzte Urkunde</w:t>
      </w:r>
      <w:r>
        <w:rPr>
          <w:rFonts w:ascii="Arial" w:hAnsi="Arial" w:cs="Arial"/>
        </w:rPr>
        <w:t xml:space="preserve"> ist eine verkörperte </w:t>
      </w:r>
      <w:r w:rsidRPr="00027023">
        <w:rPr>
          <w:rFonts w:ascii="Arial" w:hAnsi="Arial" w:cs="Arial"/>
          <w:b/>
        </w:rPr>
        <w:t>Gedankenerklärung</w:t>
      </w:r>
      <w:r>
        <w:rPr>
          <w:rFonts w:ascii="Arial" w:hAnsi="Arial" w:cs="Arial"/>
        </w:rPr>
        <w:t xml:space="preserve">, die </w:t>
      </w:r>
      <w:r w:rsidRPr="00027023">
        <w:rPr>
          <w:rFonts w:ascii="Arial" w:hAnsi="Arial" w:cs="Arial"/>
          <w:b/>
        </w:rPr>
        <w:t xml:space="preserve">mit dem </w:t>
      </w:r>
      <w:proofErr w:type="spellStart"/>
      <w:r w:rsidRPr="00027023">
        <w:rPr>
          <w:rFonts w:ascii="Arial" w:hAnsi="Arial" w:cs="Arial"/>
          <w:b/>
        </w:rPr>
        <w:t>Augenscheinsobjekt</w:t>
      </w:r>
      <w:proofErr w:type="spellEnd"/>
      <w:r>
        <w:rPr>
          <w:rFonts w:ascii="Arial" w:hAnsi="Arial" w:cs="Arial"/>
        </w:rPr>
        <w:t xml:space="preserve">, auf die sie sich bezieht, zu einer Beweiseinheit </w:t>
      </w:r>
      <w:r w:rsidRPr="00027023">
        <w:rPr>
          <w:rFonts w:ascii="Arial" w:hAnsi="Arial" w:cs="Arial"/>
          <w:b/>
        </w:rPr>
        <w:t>räumlich fest verbunden</w:t>
      </w:r>
      <w:r>
        <w:rPr>
          <w:rFonts w:ascii="Arial" w:hAnsi="Arial" w:cs="Arial"/>
        </w:rPr>
        <w:t xml:space="preserve"> ist.</w:t>
      </w:r>
    </w:p>
    <w:p w:rsidR="00027023" w:rsidRDefault="00BF1E84" w:rsidP="00027023">
      <w:pPr>
        <w:jc w:val="both"/>
        <w:rPr>
          <w:rFonts w:ascii="Arial" w:hAnsi="Arial" w:cs="Arial"/>
        </w:rPr>
      </w:pPr>
      <w:r w:rsidRPr="00C0303B">
        <w:rPr>
          <w:rFonts w:ascii="Arial" w:hAnsi="Arial" w:cs="Arial"/>
          <w:b/>
        </w:rPr>
        <w:t>Beweiszeichen</w:t>
      </w:r>
      <w:r>
        <w:rPr>
          <w:rFonts w:ascii="Arial" w:hAnsi="Arial" w:cs="Arial"/>
        </w:rPr>
        <w:t xml:space="preserve"> sind Zeichen, die eine Erklärung über den Gegenstand verkörpern, an dem sie angebracht sind</w:t>
      </w:r>
      <w:r w:rsidR="00C0303B">
        <w:rPr>
          <w:rFonts w:ascii="Arial" w:hAnsi="Arial" w:cs="Arial"/>
        </w:rPr>
        <w:t>. Die Gedankenerklärungen zusammengesetzter Urkunden sind regelmäßig Beweiszeichen</w:t>
      </w:r>
      <w:r w:rsidR="00027023">
        <w:rPr>
          <w:rFonts w:ascii="Arial" w:hAnsi="Arial" w:cs="Arial"/>
        </w:rPr>
        <w:t xml:space="preserve"> (Preisschild auf der Ware, Kfz-Kennzeichen)</w:t>
      </w:r>
      <w:r w:rsidR="00C0303B">
        <w:rPr>
          <w:rFonts w:ascii="Arial" w:hAnsi="Arial" w:cs="Arial"/>
        </w:rPr>
        <w:t xml:space="preserve">. Von ihnen sind die Kennzeichen zu unterscheiden, die nur der Individualisierung / Unterscheidung von Gegenständen gleicher Art dienen. Beweiszeichen enthalten eine Gedankenerklärung, </w:t>
      </w:r>
      <w:r w:rsidR="00027023">
        <w:rPr>
          <w:rFonts w:ascii="Arial" w:hAnsi="Arial" w:cs="Arial"/>
        </w:rPr>
        <w:t xml:space="preserve">die </w:t>
      </w:r>
      <w:r w:rsidR="00027023" w:rsidRPr="00027023">
        <w:rPr>
          <w:rFonts w:ascii="Arial" w:hAnsi="Arial" w:cs="Arial"/>
        </w:rPr>
        <w:t>eine rechtliche Disposition oder</w:t>
      </w:r>
      <w:r w:rsidR="00027023">
        <w:rPr>
          <w:rFonts w:ascii="Arial" w:hAnsi="Arial" w:cs="Arial"/>
        </w:rPr>
        <w:t xml:space="preserve"> </w:t>
      </w:r>
      <w:r w:rsidR="00027023" w:rsidRPr="00027023">
        <w:rPr>
          <w:rFonts w:ascii="Arial" w:hAnsi="Arial" w:cs="Arial"/>
        </w:rPr>
        <w:t>eine rechtserhebliche Bezeugung gewisser Umstände</w:t>
      </w:r>
      <w:r w:rsidR="00027023">
        <w:rPr>
          <w:rFonts w:ascii="Arial" w:hAnsi="Arial" w:cs="Arial"/>
        </w:rPr>
        <w:t xml:space="preserve"> zum Ausdruck bringen. Kennzeichen enthalten keine rechtserhebliche Erklärung (</w:t>
      </w:r>
      <w:proofErr w:type="spellStart"/>
      <w:r w:rsidR="00027023">
        <w:rPr>
          <w:rFonts w:ascii="Arial" w:hAnsi="Arial" w:cs="Arial"/>
        </w:rPr>
        <w:t>Fabrikationsnr</w:t>
      </w:r>
      <w:proofErr w:type="spellEnd"/>
      <w:r w:rsidR="00027023">
        <w:rPr>
          <w:rFonts w:ascii="Arial" w:hAnsi="Arial" w:cs="Arial"/>
        </w:rPr>
        <w:t>. / rotes Überführungskennzeichen).</w:t>
      </w:r>
    </w:p>
    <w:p w:rsidR="00027023" w:rsidRDefault="00027023" w:rsidP="00027023">
      <w:pPr>
        <w:jc w:val="both"/>
        <w:rPr>
          <w:rFonts w:ascii="Arial" w:hAnsi="Arial" w:cs="Arial"/>
        </w:rPr>
      </w:pPr>
      <w:r w:rsidRPr="00027023">
        <w:rPr>
          <w:rFonts w:ascii="Arial" w:hAnsi="Arial" w:cs="Arial"/>
          <w:b/>
        </w:rPr>
        <w:t>Gesamturkunde i</w:t>
      </w:r>
      <w:r>
        <w:rPr>
          <w:rFonts w:ascii="Arial" w:hAnsi="Arial" w:cs="Arial"/>
        </w:rPr>
        <w:t xml:space="preserve">st eine </w:t>
      </w:r>
      <w:r w:rsidRPr="00027023">
        <w:rPr>
          <w:rFonts w:ascii="Arial" w:hAnsi="Arial" w:cs="Arial"/>
          <w:b/>
        </w:rPr>
        <w:t>Zusammenfassung</w:t>
      </w:r>
      <w:r w:rsidRPr="00027023">
        <w:rPr>
          <w:rFonts w:ascii="Arial" w:hAnsi="Arial" w:cs="Arial"/>
          <w:b/>
        </w:rPr>
        <w:t xml:space="preserve"> mehrere</w:t>
      </w:r>
      <w:r w:rsidRPr="00027023">
        <w:rPr>
          <w:rFonts w:ascii="Arial" w:hAnsi="Arial" w:cs="Arial"/>
          <w:b/>
        </w:rPr>
        <w:t>r</w:t>
      </w:r>
      <w:r w:rsidRPr="00027023">
        <w:rPr>
          <w:rFonts w:ascii="Arial" w:hAnsi="Arial" w:cs="Arial"/>
          <w:b/>
        </w:rPr>
        <w:t xml:space="preserve"> Einzelurkunden</w:t>
      </w:r>
      <w:r w:rsidRPr="00027023">
        <w:rPr>
          <w:rFonts w:ascii="Arial" w:hAnsi="Arial" w:cs="Arial"/>
        </w:rPr>
        <w:t xml:space="preserve"> zu einem Ganzen</w:t>
      </w:r>
      <w:r>
        <w:rPr>
          <w:rFonts w:ascii="Arial" w:hAnsi="Arial" w:cs="Arial"/>
        </w:rPr>
        <w:t>,</w:t>
      </w:r>
      <w:r w:rsidRPr="00027023">
        <w:rPr>
          <w:rFonts w:ascii="Arial" w:hAnsi="Arial" w:cs="Arial"/>
        </w:rPr>
        <w:t xml:space="preserve"> so dass gerade diese Zusammenfassung</w:t>
      </w:r>
      <w:r>
        <w:rPr>
          <w:rFonts w:ascii="Arial" w:hAnsi="Arial" w:cs="Arial"/>
        </w:rPr>
        <w:t xml:space="preserve"> </w:t>
      </w:r>
      <w:r w:rsidRPr="00027023">
        <w:rPr>
          <w:rFonts w:ascii="Arial" w:hAnsi="Arial" w:cs="Arial"/>
        </w:rPr>
        <w:t>einen über den gedanklichen Inhalt der Einzelteile hinausgehenden</w:t>
      </w:r>
      <w:r>
        <w:rPr>
          <w:rFonts w:ascii="Arial" w:hAnsi="Arial" w:cs="Arial"/>
        </w:rPr>
        <w:t xml:space="preserve"> </w:t>
      </w:r>
      <w:r w:rsidRPr="00027023">
        <w:rPr>
          <w:rFonts w:ascii="Arial" w:hAnsi="Arial" w:cs="Arial"/>
          <w:b/>
        </w:rPr>
        <w:t>eigenen Erklärungs- und Beweisinhalt</w:t>
      </w:r>
      <w:r w:rsidRPr="00027023">
        <w:rPr>
          <w:rFonts w:ascii="Arial" w:hAnsi="Arial" w:cs="Arial"/>
        </w:rPr>
        <w:t xml:space="preserve"> hat</w:t>
      </w:r>
      <w:r>
        <w:rPr>
          <w:rFonts w:ascii="Arial" w:hAnsi="Arial" w:cs="Arial"/>
        </w:rPr>
        <w:t xml:space="preserve"> </w:t>
      </w:r>
      <w:r w:rsidR="006417B0">
        <w:rPr>
          <w:rFonts w:ascii="Arial" w:hAnsi="Arial" w:cs="Arial"/>
        </w:rPr>
        <w:t>(Stimmzettel in der Wahlurne mit mehreren Kreuzen, notarielle Zusammenfassung mehrerer Einzelurkunden).</w:t>
      </w:r>
    </w:p>
    <w:p w:rsidR="006417B0" w:rsidRDefault="006417B0" w:rsidP="00027023">
      <w:pPr>
        <w:jc w:val="both"/>
        <w:rPr>
          <w:rFonts w:ascii="Arial" w:hAnsi="Arial" w:cs="Arial"/>
          <w:b/>
        </w:rPr>
      </w:pPr>
      <w:r w:rsidRPr="006417B0">
        <w:rPr>
          <w:rFonts w:ascii="Arial" w:hAnsi="Arial" w:cs="Arial"/>
          <w:b/>
        </w:rPr>
        <w:t>2. Einwilligung bei § 315 b StGB f.</w:t>
      </w:r>
    </w:p>
    <w:p w:rsidR="006417B0" w:rsidRDefault="006417B0" w:rsidP="00027023">
      <w:pPr>
        <w:jc w:val="both"/>
        <w:rPr>
          <w:rFonts w:ascii="Arial" w:hAnsi="Arial" w:cs="Arial"/>
        </w:rPr>
      </w:pPr>
      <w:r w:rsidRPr="006417B0">
        <w:rPr>
          <w:rFonts w:ascii="Arial" w:hAnsi="Arial" w:cs="Arial"/>
        </w:rPr>
        <w:t xml:space="preserve">2 Rechtsgüter sind geschützt: </w:t>
      </w:r>
      <w:r>
        <w:rPr>
          <w:rFonts w:ascii="Arial" w:hAnsi="Arial" w:cs="Arial"/>
        </w:rPr>
        <w:t>Sicherheit des Straßenverkehrs und Individualrechtsgüter (diejenigen, die durch die Tathandlung konkret gefährdet werden).</w:t>
      </w:r>
    </w:p>
    <w:p w:rsidR="006417B0" w:rsidRDefault="006417B0" w:rsidP="00027023">
      <w:pPr>
        <w:jc w:val="both"/>
        <w:rPr>
          <w:rFonts w:ascii="Arial" w:hAnsi="Arial" w:cs="Arial"/>
        </w:rPr>
      </w:pPr>
      <w:r w:rsidRPr="006417B0">
        <w:rPr>
          <w:rFonts w:ascii="Arial" w:hAnsi="Arial" w:cs="Arial"/>
          <w:b/>
        </w:rPr>
        <w:t>Rechtsprechung:</w:t>
      </w:r>
      <w:r>
        <w:rPr>
          <w:rFonts w:ascii="Arial" w:hAnsi="Arial" w:cs="Arial"/>
        </w:rPr>
        <w:t xml:space="preserve"> Primäres Rechtsgut ist die </w:t>
      </w:r>
      <w:r>
        <w:rPr>
          <w:rFonts w:ascii="Arial" w:hAnsi="Arial" w:cs="Arial"/>
        </w:rPr>
        <w:t>Sicherheit des Straßenverkehrs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Individualrechtsgüter</w:t>
      </w:r>
      <w:r>
        <w:rPr>
          <w:rFonts w:ascii="Arial" w:hAnsi="Arial" w:cs="Arial"/>
        </w:rPr>
        <w:t xml:space="preserve"> sind lediglich reflexartig mitgeschützt. Konsequenz: Einwilligung des konkreten Opfers beseitigt nur die Verletzung des Individualrechtsguts. Die Strafbarkeit bleibt bestehen.</w:t>
      </w:r>
    </w:p>
    <w:p w:rsidR="006417B0" w:rsidRDefault="006417B0" w:rsidP="00027023">
      <w:pPr>
        <w:jc w:val="both"/>
        <w:rPr>
          <w:rFonts w:ascii="Arial" w:hAnsi="Arial" w:cs="Arial"/>
        </w:rPr>
      </w:pPr>
      <w:r w:rsidRPr="006417B0">
        <w:rPr>
          <w:rFonts w:ascii="Arial" w:hAnsi="Arial" w:cs="Arial"/>
          <w:b/>
        </w:rPr>
        <w:t>Gegenansicht in der Literatur:</w:t>
      </w:r>
      <w:r>
        <w:rPr>
          <w:rFonts w:ascii="Arial" w:hAnsi="Arial" w:cs="Arial"/>
        </w:rPr>
        <w:t xml:space="preserve"> Beide Arten von Rechtsgütern sind gleichrangig geschützt. Die Einwilligung wirkt daher tatbestands- oder rechtswidrigkeitsausschließend. Denn die bloße Verletzung der </w:t>
      </w:r>
      <w:r>
        <w:rPr>
          <w:rFonts w:ascii="Arial" w:hAnsi="Arial" w:cs="Arial"/>
        </w:rPr>
        <w:t>Sicherheit des Straßenverkehrs</w:t>
      </w:r>
      <w:r w:rsidR="00924813">
        <w:rPr>
          <w:rFonts w:ascii="Arial" w:hAnsi="Arial" w:cs="Arial"/>
        </w:rPr>
        <w:t xml:space="preserve"> für sich allein ist nicht hinreichend, um Strafe zu verhängen.</w:t>
      </w:r>
    </w:p>
    <w:p w:rsidR="00924813" w:rsidRPr="00924813" w:rsidRDefault="00924813" w:rsidP="00027023">
      <w:pPr>
        <w:jc w:val="both"/>
        <w:rPr>
          <w:rFonts w:ascii="Arial" w:hAnsi="Arial" w:cs="Arial"/>
          <w:b/>
        </w:rPr>
      </w:pPr>
      <w:r w:rsidRPr="00924813">
        <w:rPr>
          <w:rFonts w:ascii="Arial" w:hAnsi="Arial" w:cs="Arial"/>
          <w:b/>
        </w:rPr>
        <w:t>3. Einwilligung bei § 164 StGB</w:t>
      </w:r>
    </w:p>
    <w:p w:rsidR="00924813" w:rsidRDefault="00924813" w:rsidP="000270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Auch hier wird von der Rechtsprechung das überindividuelle Rechtsgut im Vordergrund gesehen (Hier: die Funktionsfähigkeit der Rechtspflege). Im Gegensatz zu §§ 315 b StGB ff. vertritt hier nur eine sehr kleine Mindermeinung, dass ausschließlich der Schutz des einzelnen Verdächtigten im Vordergrund steht (z. B. Hirsch, „Individualgutstheorie“).</w:t>
      </w:r>
    </w:p>
    <w:p w:rsidR="00924813" w:rsidRPr="00924813" w:rsidRDefault="00924813" w:rsidP="00027023">
      <w:pPr>
        <w:jc w:val="both"/>
        <w:rPr>
          <w:rFonts w:ascii="Arial" w:hAnsi="Arial" w:cs="Arial"/>
          <w:b/>
        </w:rPr>
      </w:pPr>
      <w:r w:rsidRPr="00924813">
        <w:rPr>
          <w:rFonts w:ascii="Arial" w:hAnsi="Arial" w:cs="Arial"/>
          <w:b/>
        </w:rPr>
        <w:t>4. § 142 StGB: Wartezeit</w:t>
      </w:r>
    </w:p>
    <w:p w:rsidR="00924813" w:rsidRPr="006417B0" w:rsidRDefault="00924813" w:rsidP="000270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stets beachten, dass das Gericht hier einen Beurteilungsspielraum besitzt. Für leichte Delikte oder Sachschaden mag eine ½ Stunde ausreichen. Für Tötungen und schwere Körperverletzungen (auch fahrlässig) verlangen die Gerichte jedoch </w:t>
      </w:r>
      <w:r w:rsidR="00CF245B">
        <w:rPr>
          <w:rFonts w:ascii="Arial" w:hAnsi="Arial" w:cs="Arial"/>
        </w:rPr>
        <w:t xml:space="preserve">mindestens oder </w:t>
      </w:r>
      <w:bookmarkStart w:id="0" w:name="_GoBack"/>
      <w:bookmarkEnd w:id="0"/>
      <w:r>
        <w:rPr>
          <w:rFonts w:ascii="Arial" w:hAnsi="Arial" w:cs="Arial"/>
        </w:rPr>
        <w:t>mehr als 1 Stunde!</w:t>
      </w:r>
    </w:p>
    <w:sectPr w:rsidR="00924813" w:rsidRPr="006417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1FE"/>
    <w:multiLevelType w:val="hybridMultilevel"/>
    <w:tmpl w:val="3356DC4E"/>
    <w:lvl w:ilvl="0" w:tplc="E4820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005A"/>
    <w:multiLevelType w:val="hybridMultilevel"/>
    <w:tmpl w:val="6D0825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A08DB"/>
    <w:multiLevelType w:val="hybridMultilevel"/>
    <w:tmpl w:val="904E8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9C"/>
    <w:rsid w:val="00027023"/>
    <w:rsid w:val="001A779C"/>
    <w:rsid w:val="004767BF"/>
    <w:rsid w:val="006417B0"/>
    <w:rsid w:val="00896DAD"/>
    <w:rsid w:val="00924813"/>
    <w:rsid w:val="00BF1E84"/>
    <w:rsid w:val="00C0303B"/>
    <w:rsid w:val="00C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7DE79-0246-41D1-BDE1-8F6C2779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Toepel</dc:creator>
  <cp:keywords/>
  <dc:description/>
  <cp:lastModifiedBy>Friedrich Toepel</cp:lastModifiedBy>
  <cp:revision>2</cp:revision>
  <dcterms:created xsi:type="dcterms:W3CDTF">2018-05-22T11:25:00Z</dcterms:created>
  <dcterms:modified xsi:type="dcterms:W3CDTF">2018-05-22T12:19:00Z</dcterms:modified>
</cp:coreProperties>
</file>